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E5C" w:rsidRPr="006F1E5C" w:rsidRDefault="006F1E5C" w:rsidP="006F1E5C">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6F1E5C" w:rsidRPr="006F1E5C" w:rsidRDefault="006F1E5C" w:rsidP="006F1E5C">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6F1E5C" w:rsidRPr="006F1E5C" w:rsidRDefault="006F1E5C" w:rsidP="006F1E5C">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6F1E5C" w:rsidRPr="006F1E5C" w:rsidRDefault="006F1E5C" w:rsidP="006F1E5C">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6F1E5C" w:rsidRPr="006F1E5C" w:rsidRDefault="006F1E5C" w:rsidP="006F1E5C">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6F1E5C" w:rsidRPr="006F1E5C" w:rsidRDefault="006F1E5C" w:rsidP="006F1E5C">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6F1E5C" w:rsidRPr="006F1E5C" w:rsidRDefault="006F1E5C" w:rsidP="006F1E5C">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bookmarkStart w:id="0" w:name="_GoBack"/>
      <w:r w:rsidRPr="006F1E5C">
        <w:rPr>
          <w:rFonts w:ascii="Times New Roman" w:hAnsi="Times New Roman" w:cs="Times New Roman"/>
          <w:b/>
          <w:color w:val="1D1D1D"/>
          <w:sz w:val="24"/>
          <w:szCs w:val="24"/>
          <w:shd w:val="clear" w:color="auto" w:fill="FFFFFF"/>
        </w:rPr>
        <w:t>Corpus Delicti</w:t>
      </w:r>
    </w:p>
    <w:bookmarkEnd w:id="0"/>
    <w:p w:rsidR="006F1E5C" w:rsidRPr="006F1E5C" w:rsidRDefault="006F1E5C" w:rsidP="006F1E5C">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6F1E5C" w:rsidRPr="006F1E5C" w:rsidRDefault="006F1E5C" w:rsidP="006F1E5C">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6F1E5C" w:rsidRPr="006F1E5C" w:rsidRDefault="006F1E5C" w:rsidP="006F1E5C">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6F1E5C" w:rsidRPr="006F1E5C" w:rsidRDefault="006F1E5C" w:rsidP="006F1E5C">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6F1E5C">
        <w:rPr>
          <w:rFonts w:ascii="Times New Roman" w:hAnsi="Times New Roman" w:cs="Times New Roman"/>
          <w:color w:val="263238"/>
          <w:sz w:val="24"/>
          <w:szCs w:val="24"/>
        </w:rPr>
        <w:t>Student’s Name</w:t>
      </w:r>
      <w:r w:rsidRPr="006F1E5C">
        <w:rPr>
          <w:rFonts w:ascii="Times New Roman" w:hAnsi="Times New Roman" w:cs="Times New Roman"/>
          <w:color w:val="263238"/>
          <w:sz w:val="24"/>
          <w:szCs w:val="24"/>
        </w:rPr>
        <w:br/>
        <w:t>Department, University</w:t>
      </w:r>
      <w:r w:rsidRPr="006F1E5C">
        <w:rPr>
          <w:rFonts w:ascii="Times New Roman" w:hAnsi="Times New Roman" w:cs="Times New Roman"/>
          <w:color w:val="263238"/>
          <w:sz w:val="24"/>
          <w:szCs w:val="24"/>
        </w:rPr>
        <w:br/>
        <w:t>Course Number and Name</w:t>
      </w:r>
      <w:r w:rsidRPr="006F1E5C">
        <w:rPr>
          <w:rFonts w:ascii="Times New Roman" w:hAnsi="Times New Roman" w:cs="Times New Roman"/>
          <w:color w:val="263238"/>
          <w:sz w:val="24"/>
          <w:szCs w:val="24"/>
        </w:rPr>
        <w:br/>
        <w:t>Instructor’s Name</w:t>
      </w:r>
      <w:r w:rsidRPr="006F1E5C">
        <w:rPr>
          <w:rFonts w:ascii="Times New Roman" w:hAnsi="Times New Roman" w:cs="Times New Roman"/>
          <w:color w:val="263238"/>
          <w:sz w:val="24"/>
          <w:szCs w:val="24"/>
        </w:rPr>
        <w:br/>
        <w:t>Date</w:t>
      </w:r>
    </w:p>
    <w:p w:rsidR="006F1E5C" w:rsidRPr="006F1E5C" w:rsidRDefault="006F1E5C" w:rsidP="006F1E5C">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6F1E5C">
        <w:rPr>
          <w:rFonts w:ascii="Times New Roman" w:hAnsi="Times New Roman" w:cs="Times New Roman"/>
          <w:b/>
          <w:color w:val="1D1D1D"/>
          <w:sz w:val="24"/>
          <w:szCs w:val="24"/>
          <w:shd w:val="clear" w:color="auto" w:fill="FFFFFF"/>
        </w:rPr>
        <w:br w:type="page"/>
      </w:r>
    </w:p>
    <w:p w:rsidR="006F1E5C" w:rsidRPr="006F1E5C" w:rsidRDefault="006F1E5C" w:rsidP="006F1E5C">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6F1E5C">
        <w:rPr>
          <w:rFonts w:ascii="Times New Roman" w:hAnsi="Times New Roman" w:cs="Times New Roman"/>
          <w:b/>
          <w:color w:val="1D1D1D"/>
          <w:sz w:val="24"/>
          <w:szCs w:val="24"/>
          <w:shd w:val="clear" w:color="auto" w:fill="FFFFFF"/>
        </w:rPr>
        <w:lastRenderedPageBreak/>
        <w:t>Corpus Delicti</w:t>
      </w:r>
    </w:p>
    <w:p w:rsidR="00470E94" w:rsidRPr="006F1E5C" w:rsidRDefault="00470E94" w:rsidP="006F1E5C">
      <w:pPr>
        <w:spacing w:before="100" w:beforeAutospacing="1" w:after="100" w:afterAutospacing="1" w:line="480" w:lineRule="auto"/>
        <w:ind w:firstLine="720"/>
        <w:rPr>
          <w:rFonts w:ascii="Times New Roman" w:hAnsi="Times New Roman" w:cs="Times New Roman"/>
          <w:bCs/>
          <w:color w:val="222222"/>
          <w:sz w:val="24"/>
          <w:szCs w:val="24"/>
          <w:shd w:val="clear" w:color="auto" w:fill="FFFFFF"/>
        </w:rPr>
      </w:pPr>
      <w:r w:rsidRPr="006F1E5C">
        <w:rPr>
          <w:rFonts w:ascii="Times New Roman" w:hAnsi="Times New Roman" w:cs="Times New Roman"/>
          <w:bCs/>
          <w:color w:val="222222"/>
          <w:sz w:val="24"/>
          <w:szCs w:val="24"/>
          <w:shd w:val="clear" w:color="auto" w:fill="FFFFFF"/>
        </w:rPr>
        <w:t>Corpus delicti, which means a body of the crime in Latin, refers to the principle that a complainant must prove that a crime occurred before the accused person can be convicted in a court of law. According to the rule of Corpus delicti, the prosecutor must prove a crime in all criminal cases. The court requires intensive evidence because it does not allow the prosecutor to rely on the accused person's statements or confession alone. A defendant may be prosecuted for murder when the victim's body has not been found (</w:t>
      </w:r>
      <w:r w:rsidRPr="006F1E5C">
        <w:rPr>
          <w:rFonts w:ascii="Times New Roman" w:hAnsi="Times New Roman" w:cs="Times New Roman"/>
          <w:color w:val="222222"/>
          <w:sz w:val="24"/>
          <w:szCs w:val="24"/>
          <w:shd w:val="clear" w:color="auto" w:fill="FFFFFF"/>
        </w:rPr>
        <w:t>Alili, 2017, p127)</w:t>
      </w:r>
      <w:r w:rsidRPr="006F1E5C">
        <w:rPr>
          <w:rFonts w:ascii="Times New Roman" w:hAnsi="Times New Roman" w:cs="Times New Roman"/>
          <w:bCs/>
          <w:color w:val="222222"/>
          <w:sz w:val="24"/>
          <w:szCs w:val="24"/>
          <w:shd w:val="clear" w:color="auto" w:fill="FFFFFF"/>
        </w:rPr>
        <w:t xml:space="preserve">. Such cases are hard to prove, though the prosecution is allowed to use circumstantial evidence. </w:t>
      </w:r>
    </w:p>
    <w:p w:rsidR="00470E94" w:rsidRPr="006F1E5C" w:rsidRDefault="00470E94" w:rsidP="006F1E5C">
      <w:pPr>
        <w:spacing w:before="100" w:beforeAutospacing="1" w:after="100" w:afterAutospacing="1" w:line="480" w:lineRule="auto"/>
        <w:ind w:firstLine="720"/>
        <w:rPr>
          <w:rFonts w:ascii="Times New Roman" w:hAnsi="Times New Roman" w:cs="Times New Roman"/>
          <w:bCs/>
          <w:color w:val="222222"/>
          <w:sz w:val="24"/>
          <w:szCs w:val="24"/>
          <w:shd w:val="clear" w:color="auto" w:fill="FFFFFF"/>
        </w:rPr>
      </w:pPr>
      <w:r w:rsidRPr="006F1E5C">
        <w:rPr>
          <w:rFonts w:ascii="Times New Roman" w:hAnsi="Times New Roman" w:cs="Times New Roman"/>
          <w:bCs/>
          <w:color w:val="222222"/>
          <w:sz w:val="24"/>
          <w:szCs w:val="24"/>
          <w:shd w:val="clear" w:color="auto" w:fill="FFFFFF"/>
        </w:rPr>
        <w:t>Circumstantial evidence is as important as direct evidence because they determine the accused person's guilt or innocence. The two forms of evidence have similar weight under the rule of evidence because there is no legal difference. A prosecutor can use any of the two types of evidence to prove a crime.</w:t>
      </w:r>
    </w:p>
    <w:p w:rsidR="006F1E5C" w:rsidRPr="006F1E5C" w:rsidRDefault="006F1E5C" w:rsidP="006F1E5C">
      <w:pPr>
        <w:spacing w:before="100" w:beforeAutospacing="1" w:after="100" w:afterAutospacing="1" w:line="480" w:lineRule="auto"/>
        <w:rPr>
          <w:rFonts w:ascii="Times New Roman" w:hAnsi="Times New Roman" w:cs="Times New Roman"/>
          <w:color w:val="1D1D1D"/>
          <w:sz w:val="24"/>
          <w:szCs w:val="24"/>
          <w:shd w:val="clear" w:color="auto" w:fill="FFFFFF"/>
        </w:rPr>
      </w:pPr>
      <w:r w:rsidRPr="006F1E5C">
        <w:rPr>
          <w:rFonts w:ascii="Times New Roman" w:hAnsi="Times New Roman" w:cs="Times New Roman"/>
          <w:color w:val="1D1D1D"/>
          <w:sz w:val="24"/>
          <w:szCs w:val="24"/>
          <w:shd w:val="clear" w:color="auto" w:fill="FFFFFF"/>
        </w:rPr>
        <w:br w:type="page"/>
      </w:r>
    </w:p>
    <w:p w:rsidR="003B1871" w:rsidRPr="006F1E5C" w:rsidRDefault="003B1871" w:rsidP="006F1E5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6F1E5C">
        <w:rPr>
          <w:rFonts w:ascii="Times New Roman" w:hAnsi="Times New Roman" w:cs="Times New Roman"/>
          <w:color w:val="1D1D1D"/>
          <w:sz w:val="24"/>
          <w:szCs w:val="24"/>
          <w:shd w:val="clear" w:color="auto" w:fill="FFFFFF"/>
        </w:rPr>
        <w:lastRenderedPageBreak/>
        <w:t>Reference</w:t>
      </w:r>
    </w:p>
    <w:p w:rsidR="00470E94" w:rsidRPr="006F1E5C" w:rsidRDefault="00470E94" w:rsidP="006F1E5C">
      <w:pPr>
        <w:spacing w:before="100" w:beforeAutospacing="1" w:after="100" w:afterAutospacing="1" w:line="480" w:lineRule="auto"/>
        <w:ind w:left="720" w:hanging="720"/>
        <w:rPr>
          <w:rFonts w:ascii="Times New Roman" w:hAnsi="Times New Roman" w:cs="Times New Roman"/>
          <w:sz w:val="24"/>
          <w:szCs w:val="24"/>
        </w:rPr>
      </w:pPr>
      <w:r w:rsidRPr="006F1E5C">
        <w:rPr>
          <w:rFonts w:ascii="Times New Roman" w:hAnsi="Times New Roman" w:cs="Times New Roman"/>
          <w:color w:val="222222"/>
          <w:sz w:val="24"/>
          <w:szCs w:val="24"/>
          <w:shd w:val="clear" w:color="auto" w:fill="FFFFFF"/>
        </w:rPr>
        <w:t>Alili, N. (2017). The Importance of “Corpus Delicti” in Proving “Causation” in Homicide Cases. </w:t>
      </w:r>
      <w:r w:rsidRPr="006F1E5C">
        <w:rPr>
          <w:rFonts w:ascii="Times New Roman" w:hAnsi="Times New Roman" w:cs="Times New Roman"/>
          <w:i/>
          <w:iCs/>
          <w:color w:val="222222"/>
          <w:sz w:val="24"/>
          <w:szCs w:val="24"/>
          <w:shd w:val="clear" w:color="auto" w:fill="FFFFFF"/>
        </w:rPr>
        <w:t>KIU Journal of Humanities</w:t>
      </w:r>
      <w:r w:rsidRPr="006F1E5C">
        <w:rPr>
          <w:rFonts w:ascii="Times New Roman" w:hAnsi="Times New Roman" w:cs="Times New Roman"/>
          <w:color w:val="222222"/>
          <w:sz w:val="24"/>
          <w:szCs w:val="24"/>
          <w:shd w:val="clear" w:color="auto" w:fill="FFFFFF"/>
        </w:rPr>
        <w:t>, </w:t>
      </w:r>
      <w:r w:rsidRPr="006F1E5C">
        <w:rPr>
          <w:rFonts w:ascii="Times New Roman" w:hAnsi="Times New Roman" w:cs="Times New Roman"/>
          <w:i/>
          <w:iCs/>
          <w:color w:val="222222"/>
          <w:sz w:val="24"/>
          <w:szCs w:val="24"/>
          <w:shd w:val="clear" w:color="auto" w:fill="FFFFFF"/>
        </w:rPr>
        <w:t>2</w:t>
      </w:r>
      <w:r w:rsidRPr="006F1E5C">
        <w:rPr>
          <w:rFonts w:ascii="Times New Roman" w:hAnsi="Times New Roman" w:cs="Times New Roman"/>
          <w:color w:val="222222"/>
          <w:sz w:val="24"/>
          <w:szCs w:val="24"/>
          <w:shd w:val="clear" w:color="auto" w:fill="FFFFFF"/>
        </w:rPr>
        <w:t>(1), 127-134.</w:t>
      </w:r>
    </w:p>
    <w:sectPr w:rsidR="00470E94" w:rsidRPr="006F1E5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D35" w:rsidRDefault="00AB2D35" w:rsidP="006F1E5C">
      <w:pPr>
        <w:spacing w:after="0" w:line="240" w:lineRule="auto"/>
      </w:pPr>
      <w:r>
        <w:separator/>
      </w:r>
    </w:p>
  </w:endnote>
  <w:endnote w:type="continuationSeparator" w:id="0">
    <w:p w:rsidR="00AB2D35" w:rsidRDefault="00AB2D35" w:rsidP="006F1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D35" w:rsidRDefault="00AB2D35" w:rsidP="006F1E5C">
      <w:pPr>
        <w:spacing w:after="0" w:line="240" w:lineRule="auto"/>
      </w:pPr>
      <w:r>
        <w:separator/>
      </w:r>
    </w:p>
  </w:footnote>
  <w:footnote w:type="continuationSeparator" w:id="0">
    <w:p w:rsidR="00AB2D35" w:rsidRDefault="00AB2D35" w:rsidP="006F1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E5C" w:rsidRPr="006F1E5C" w:rsidRDefault="006F1E5C">
    <w:pPr>
      <w:pStyle w:val="Header"/>
      <w:rPr>
        <w:rFonts w:ascii="Times New Roman" w:hAnsi="Times New Roman" w:cs="Times New Roman"/>
        <w:sz w:val="24"/>
      </w:rPr>
    </w:pPr>
    <w:r w:rsidRPr="006F1E5C">
      <w:rPr>
        <w:rFonts w:ascii="Times New Roman" w:hAnsi="Times New Roman" w:cs="Times New Roman"/>
        <w:sz w:val="24"/>
      </w:rPr>
      <w:tab/>
    </w:r>
    <w:r w:rsidRPr="006F1E5C">
      <w:rPr>
        <w:rFonts w:ascii="Times New Roman" w:hAnsi="Times New Roman" w:cs="Times New Roman"/>
        <w:sz w:val="24"/>
      </w:rPr>
      <w:tab/>
    </w:r>
    <w:r w:rsidRPr="006F1E5C">
      <w:rPr>
        <w:rFonts w:ascii="Times New Roman" w:hAnsi="Times New Roman" w:cs="Times New Roman"/>
        <w:sz w:val="24"/>
      </w:rPr>
      <w:fldChar w:fldCharType="begin"/>
    </w:r>
    <w:r w:rsidRPr="006F1E5C">
      <w:rPr>
        <w:rFonts w:ascii="Times New Roman" w:hAnsi="Times New Roman" w:cs="Times New Roman"/>
        <w:sz w:val="24"/>
      </w:rPr>
      <w:instrText xml:space="preserve"> PAGE   \* MERGEFORMAT </w:instrText>
    </w:r>
    <w:r w:rsidRPr="006F1E5C">
      <w:rPr>
        <w:rFonts w:ascii="Times New Roman" w:hAnsi="Times New Roman" w:cs="Times New Roman"/>
        <w:sz w:val="24"/>
      </w:rPr>
      <w:fldChar w:fldCharType="separate"/>
    </w:r>
    <w:r>
      <w:rPr>
        <w:rFonts w:ascii="Times New Roman" w:hAnsi="Times New Roman" w:cs="Times New Roman"/>
        <w:noProof/>
        <w:sz w:val="24"/>
      </w:rPr>
      <w:t>1</w:t>
    </w:r>
    <w:r w:rsidRPr="006F1E5C">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663"/>
    <w:rsid w:val="003B1871"/>
    <w:rsid w:val="00470E94"/>
    <w:rsid w:val="00477396"/>
    <w:rsid w:val="004901CA"/>
    <w:rsid w:val="00676C89"/>
    <w:rsid w:val="006F1E5C"/>
    <w:rsid w:val="007626D3"/>
    <w:rsid w:val="00773FB6"/>
    <w:rsid w:val="007C1466"/>
    <w:rsid w:val="007F3663"/>
    <w:rsid w:val="00AB2D35"/>
    <w:rsid w:val="00BF7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3AE80"/>
  <w15:chartTrackingRefBased/>
  <w15:docId w15:val="{C49C9166-2D1E-47E5-8528-CD2D4740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E5C"/>
  </w:style>
  <w:style w:type="paragraph" w:styleId="Footer">
    <w:name w:val="footer"/>
    <w:basedOn w:val="Normal"/>
    <w:link w:val="FooterChar"/>
    <w:uiPriority w:val="99"/>
    <w:unhideWhenUsed/>
    <w:rsid w:val="006F1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2020-11-05T22:12:00Z</dcterms:created>
  <dcterms:modified xsi:type="dcterms:W3CDTF">2020-11-05T22:12:00Z</dcterms:modified>
</cp:coreProperties>
</file>